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6AE70B" w14:textId="638CB73E" w:rsidR="00AD3939" w:rsidRDefault="00D4569C">
      <w:pPr>
        <w:jc w:val="both"/>
        <w:rPr>
          <w:rFonts w:ascii="Calibri" w:eastAsia="Calibri" w:hAnsi="Calibri" w:cs="Calibri"/>
          <w:b/>
          <w:color w:val="000099"/>
        </w:rPr>
      </w:pPr>
      <w:bookmarkStart w:id="0" w:name="_gjdgxs"/>
      <w:bookmarkEnd w:id="0"/>
      <w:r w:rsidRPr="00D4569C">
        <w:rPr>
          <w:rFonts w:ascii="Calibri" w:eastAsia="Calibri" w:hAnsi="Calibri" w:cs="Calibri"/>
          <w:b/>
          <w:color w:val="000099"/>
        </w:rPr>
        <w:t xml:space="preserve">PERCORSO </w:t>
      </w:r>
      <w:bookmarkStart w:id="1" w:name="_GoBack"/>
      <w:bookmarkEnd w:id="1"/>
      <w:r w:rsidRPr="00D4569C">
        <w:rPr>
          <w:rFonts w:ascii="Calibri" w:eastAsia="Calibri" w:hAnsi="Calibri" w:cs="Calibri"/>
          <w:b/>
          <w:color w:val="000099"/>
        </w:rPr>
        <w:t xml:space="preserve">DI EDUCAZIONE CIVICA – </w:t>
      </w:r>
      <w:r w:rsidR="000E47FA">
        <w:rPr>
          <w:rFonts w:ascii="Calibri" w:eastAsia="Calibri" w:hAnsi="Calibri" w:cs="Calibri"/>
          <w:b/>
          <w:color w:val="000099"/>
        </w:rPr>
        <w:t>CLASSI TERZE</w:t>
      </w:r>
    </w:p>
    <w:p w14:paraId="14ACBAD1" w14:textId="77777777" w:rsidR="00EA2535" w:rsidRDefault="00EA2535">
      <w:pPr>
        <w:jc w:val="both"/>
        <w:rPr>
          <w:rFonts w:ascii="Calibri" w:eastAsia="Calibri" w:hAnsi="Calibri" w:cs="Calibri"/>
          <w:b/>
          <w:color w:val="000099"/>
        </w:rPr>
      </w:pPr>
    </w:p>
    <w:p w14:paraId="30E34341" w14:textId="01577EEB" w:rsidR="00AD3939" w:rsidRDefault="0020024D">
      <w:pPr>
        <w:jc w:val="both"/>
        <w:rPr>
          <w:rFonts w:ascii="Calibri" w:eastAsia="Calibri" w:hAnsi="Calibri" w:cs="Calibri"/>
          <w:b/>
          <w:color w:val="000099"/>
        </w:rPr>
      </w:pPr>
      <w:r>
        <w:rPr>
          <w:rFonts w:ascii="Calibri" w:eastAsia="Calibri" w:hAnsi="Calibri" w:cs="Calibri"/>
          <w:b/>
          <w:color w:val="000099"/>
        </w:rPr>
        <w:t>IL “BUON GOVERNO” TRA PASSATO E PRESENTE</w:t>
      </w:r>
    </w:p>
    <w:p w14:paraId="1997E29E" w14:textId="77777777" w:rsidR="00AD3939" w:rsidRDefault="00AD3939">
      <w:pPr>
        <w:jc w:val="both"/>
        <w:rPr>
          <w:rFonts w:ascii="Calibri" w:eastAsia="Calibri" w:hAnsi="Calibri" w:cs="Calibri"/>
          <w:color w:val="000099"/>
        </w:rPr>
      </w:pPr>
    </w:p>
    <w:p w14:paraId="72DD7E3E" w14:textId="77777777" w:rsidR="00AD3939" w:rsidRPr="00EA2535" w:rsidRDefault="0020024D">
      <w:pPr>
        <w:jc w:val="both"/>
        <w:rPr>
          <w:rFonts w:ascii="Calibri" w:eastAsia="Calibri" w:hAnsi="Calibri" w:cs="Calibri"/>
          <w:b/>
          <w:color w:val="000099"/>
        </w:rPr>
      </w:pPr>
      <w:r w:rsidRPr="00EA2535">
        <w:rPr>
          <w:rFonts w:ascii="Calibri" w:eastAsia="Calibri" w:hAnsi="Calibri" w:cs="Calibri"/>
          <w:b/>
          <w:color w:val="000099"/>
        </w:rPr>
        <w:t>COMPETENZE:</w:t>
      </w:r>
    </w:p>
    <w:p w14:paraId="53042053" w14:textId="77777777" w:rsidR="000E47FA" w:rsidRPr="00EA2535" w:rsidRDefault="000E47FA" w:rsidP="000E47FA">
      <w:pPr>
        <w:pStyle w:val="Paragrafoelenco"/>
        <w:numPr>
          <w:ilvl w:val="0"/>
          <w:numId w:val="1"/>
        </w:numPr>
        <w:jc w:val="both"/>
        <w:rPr>
          <w:rFonts w:ascii="Calibri" w:eastAsia="Calibri" w:hAnsi="Calibri" w:cs="Calibri"/>
          <w:b/>
          <w:color w:val="000099"/>
        </w:rPr>
      </w:pPr>
      <w:r w:rsidRPr="00EA2535">
        <w:rPr>
          <w:rFonts w:ascii="Calibri" w:eastAsia="Calibri" w:hAnsi="Calibri" w:cs="Calibri"/>
          <w:b/>
          <w:color w:val="000099"/>
        </w:rPr>
        <w:t>Cogliere la complessità dei problemi esistenziali, morali, politici, sociali, economici e scientifici e formulare risposte personali argomentate</w:t>
      </w:r>
    </w:p>
    <w:p w14:paraId="36410F3A" w14:textId="4B9AAC23" w:rsidR="00AD3939" w:rsidRPr="00EA2535" w:rsidRDefault="000E47FA" w:rsidP="000E47FA">
      <w:pPr>
        <w:pStyle w:val="Paragrafoelenco"/>
        <w:numPr>
          <w:ilvl w:val="0"/>
          <w:numId w:val="1"/>
        </w:numPr>
        <w:jc w:val="both"/>
        <w:rPr>
          <w:rFonts w:ascii="Calibri" w:eastAsia="Calibri" w:hAnsi="Calibri" w:cs="Calibri"/>
          <w:b/>
          <w:color w:val="000099"/>
        </w:rPr>
      </w:pPr>
      <w:r w:rsidRPr="00EA2535">
        <w:rPr>
          <w:rFonts w:ascii="Calibri" w:eastAsia="Calibri" w:hAnsi="Calibri" w:cs="Calibri"/>
          <w:b/>
          <w:color w:val="000099"/>
        </w:rPr>
        <w:t xml:space="preserve">Partecipare al dibattito culturale </w:t>
      </w:r>
    </w:p>
    <w:p w14:paraId="52264FC5" w14:textId="723608AF" w:rsidR="000E47FA" w:rsidRDefault="000E47FA" w:rsidP="000E47FA">
      <w:pPr>
        <w:jc w:val="both"/>
        <w:rPr>
          <w:rFonts w:ascii="Calibri" w:eastAsia="Calibri" w:hAnsi="Calibri" w:cs="Calibri"/>
          <w:color w:val="000099"/>
        </w:rPr>
      </w:pPr>
    </w:p>
    <w:p w14:paraId="1DF809BA" w14:textId="77777777" w:rsidR="000E47FA" w:rsidRPr="000E47FA" w:rsidRDefault="000E47FA" w:rsidP="000E47FA">
      <w:pPr>
        <w:jc w:val="both"/>
        <w:rPr>
          <w:rFonts w:ascii="Calibri" w:eastAsia="Calibri" w:hAnsi="Calibri" w:cs="Calibri"/>
          <w:color w:val="000099"/>
        </w:rPr>
      </w:pPr>
    </w:p>
    <w:tbl>
      <w:tblPr>
        <w:tblStyle w:val="a"/>
        <w:tblW w:w="9898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410"/>
        <w:gridCol w:w="2085"/>
        <w:gridCol w:w="1335"/>
        <w:gridCol w:w="1110"/>
        <w:gridCol w:w="2205"/>
        <w:gridCol w:w="1753"/>
      </w:tblGrid>
      <w:tr w:rsidR="00AD3939" w14:paraId="36DEEF0A" w14:textId="77777777">
        <w:tc>
          <w:tcPr>
            <w:tcW w:w="1410" w:type="dxa"/>
            <w:tcBorders>
              <w:bottom w:val="single" w:sz="12" w:space="0" w:color="666666"/>
            </w:tcBorders>
            <w:shd w:val="clear" w:color="auto" w:fill="BDD6EE"/>
          </w:tcPr>
          <w:p w14:paraId="78F203E7" w14:textId="77777777" w:rsidR="00AD3939" w:rsidRDefault="0020024D">
            <w:pP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>TEMATICA</w:t>
            </w:r>
          </w:p>
        </w:tc>
        <w:tc>
          <w:tcPr>
            <w:tcW w:w="2085" w:type="dxa"/>
            <w:tcBorders>
              <w:bottom w:val="single" w:sz="12" w:space="0" w:color="666666"/>
            </w:tcBorders>
            <w:shd w:val="clear" w:color="auto" w:fill="BDD6EE"/>
          </w:tcPr>
          <w:p w14:paraId="778C9AF8" w14:textId="77777777" w:rsidR="00AD3939" w:rsidRDefault="0020024D">
            <w:pPr>
              <w:jc w:val="center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>ABILITA’</w:t>
            </w:r>
          </w:p>
        </w:tc>
        <w:tc>
          <w:tcPr>
            <w:tcW w:w="1335" w:type="dxa"/>
            <w:tcBorders>
              <w:bottom w:val="single" w:sz="12" w:space="0" w:color="666666"/>
            </w:tcBorders>
            <w:shd w:val="clear" w:color="auto" w:fill="BDD6EE"/>
          </w:tcPr>
          <w:p w14:paraId="68220537" w14:textId="77777777" w:rsidR="00AD3939" w:rsidRDefault="0020024D">
            <w:pP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>DISCIPLINE COINVOLTE</w:t>
            </w:r>
          </w:p>
        </w:tc>
        <w:tc>
          <w:tcPr>
            <w:tcW w:w="1110" w:type="dxa"/>
            <w:tcBorders>
              <w:bottom w:val="single" w:sz="12" w:space="0" w:color="666666"/>
            </w:tcBorders>
            <w:shd w:val="clear" w:color="auto" w:fill="BDD6EE"/>
          </w:tcPr>
          <w:p w14:paraId="7C2F092F" w14:textId="77777777" w:rsidR="00AD3939" w:rsidRDefault="0020024D">
            <w:pP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>TEMPI</w:t>
            </w:r>
          </w:p>
        </w:tc>
        <w:tc>
          <w:tcPr>
            <w:tcW w:w="2205" w:type="dxa"/>
            <w:tcBorders>
              <w:bottom w:val="single" w:sz="12" w:space="0" w:color="666666"/>
            </w:tcBorders>
            <w:shd w:val="clear" w:color="auto" w:fill="BDD6EE"/>
          </w:tcPr>
          <w:p w14:paraId="33805A18" w14:textId="77777777" w:rsidR="00AD3939" w:rsidRDefault="0020024D">
            <w:pP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>METODOLOGIE DIDATTICHE</w:t>
            </w:r>
          </w:p>
        </w:tc>
        <w:tc>
          <w:tcPr>
            <w:tcW w:w="1753" w:type="dxa"/>
            <w:tcBorders>
              <w:bottom w:val="single" w:sz="12" w:space="0" w:color="666666"/>
            </w:tcBorders>
            <w:shd w:val="clear" w:color="auto" w:fill="BDD6EE"/>
          </w:tcPr>
          <w:p w14:paraId="5E0D14AC" w14:textId="77777777" w:rsidR="00AD3939" w:rsidRDefault="0020024D">
            <w:pP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>STRUMENTI DI VERIFICA</w:t>
            </w:r>
          </w:p>
        </w:tc>
      </w:tr>
      <w:tr w:rsidR="00AD3939" w14:paraId="6E5EFFEC" w14:textId="77777777">
        <w:tc>
          <w:tcPr>
            <w:tcW w:w="1410" w:type="dxa"/>
            <w:shd w:val="clear" w:color="auto" w:fill="auto"/>
          </w:tcPr>
          <w:p w14:paraId="21852355" w14:textId="77777777" w:rsidR="00AD3939" w:rsidRDefault="0020024D">
            <w:pP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>Le istituzioni politiche in Italia in età comunale e la crisi dei comuni</w:t>
            </w:r>
          </w:p>
        </w:tc>
        <w:tc>
          <w:tcPr>
            <w:tcW w:w="2085" w:type="dxa"/>
            <w:shd w:val="clear" w:color="auto" w:fill="auto"/>
          </w:tcPr>
          <w:p w14:paraId="0BA93F69" w14:textId="77777777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Riflessione sul sistema politico dei Comuni: organi politici e criterio di rappresentanza</w:t>
            </w:r>
          </w:p>
        </w:tc>
        <w:tc>
          <w:tcPr>
            <w:tcW w:w="1335" w:type="dxa"/>
            <w:shd w:val="clear" w:color="auto" w:fill="auto"/>
          </w:tcPr>
          <w:p w14:paraId="76F25637" w14:textId="77777777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Storia</w:t>
            </w:r>
          </w:p>
          <w:p w14:paraId="49E2693A" w14:textId="77777777" w:rsidR="00AD3939" w:rsidRDefault="00AD3939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24D6DA2F" w14:textId="77777777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2 ore</w:t>
            </w:r>
          </w:p>
        </w:tc>
        <w:tc>
          <w:tcPr>
            <w:tcW w:w="2205" w:type="dxa"/>
            <w:shd w:val="clear" w:color="auto" w:fill="auto"/>
          </w:tcPr>
          <w:p w14:paraId="617CF0FF" w14:textId="77777777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Lezione frontale e partecipata</w:t>
            </w:r>
          </w:p>
        </w:tc>
        <w:tc>
          <w:tcPr>
            <w:tcW w:w="1753" w:type="dxa"/>
            <w:shd w:val="clear" w:color="auto" w:fill="auto"/>
          </w:tcPr>
          <w:p w14:paraId="1136621F" w14:textId="77777777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test scritto</w:t>
            </w:r>
          </w:p>
        </w:tc>
      </w:tr>
      <w:tr w:rsidR="00AD3939" w14:paraId="03B5D231" w14:textId="77777777">
        <w:tc>
          <w:tcPr>
            <w:tcW w:w="1410" w:type="dxa"/>
            <w:shd w:val="clear" w:color="auto" w:fill="auto"/>
          </w:tcPr>
          <w:p w14:paraId="4D8CF792" w14:textId="222CC691" w:rsidR="00AD3939" w:rsidRDefault="0020024D">
            <w:pP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 xml:space="preserve">Le lotte politiche nell’età comunale </w:t>
            </w:r>
            <w:r w:rsidR="007B2982"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 xml:space="preserve">e nel 1500 </w:t>
            </w: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>nelle parole dei protagonisti</w:t>
            </w:r>
          </w:p>
        </w:tc>
        <w:tc>
          <w:tcPr>
            <w:tcW w:w="2085" w:type="dxa"/>
            <w:shd w:val="clear" w:color="auto" w:fill="auto"/>
          </w:tcPr>
          <w:p w14:paraId="3402792D" w14:textId="46D2EB10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Lettura e riflessione su passi scelti dagli auto</w:t>
            </w:r>
            <w:r w:rsidR="007B2982"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ri</w:t>
            </w: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 di letteratura italiana</w:t>
            </w:r>
            <w:r w:rsidR="007B2982"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che hanno partecipato alle lotte politiche italiane tra Duecento e Trecento</w:t>
            </w:r>
            <w:r w:rsidR="007B2982"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 e lettura di testi di Machiavelli</w:t>
            </w:r>
          </w:p>
        </w:tc>
        <w:tc>
          <w:tcPr>
            <w:tcW w:w="1335" w:type="dxa"/>
            <w:shd w:val="clear" w:color="auto" w:fill="auto"/>
          </w:tcPr>
          <w:p w14:paraId="5DEF84B8" w14:textId="77777777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Italiano</w:t>
            </w:r>
          </w:p>
        </w:tc>
        <w:tc>
          <w:tcPr>
            <w:tcW w:w="1110" w:type="dxa"/>
            <w:shd w:val="clear" w:color="auto" w:fill="auto"/>
          </w:tcPr>
          <w:p w14:paraId="48C36AB9" w14:textId="58C7997F" w:rsidR="00AD3939" w:rsidRDefault="007B2982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3</w:t>
            </w:r>
            <w:r w:rsidR="0020024D"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 ore</w:t>
            </w:r>
          </w:p>
        </w:tc>
        <w:tc>
          <w:tcPr>
            <w:tcW w:w="2205" w:type="dxa"/>
            <w:shd w:val="clear" w:color="auto" w:fill="auto"/>
          </w:tcPr>
          <w:p w14:paraId="1A8558C3" w14:textId="32AEDB25" w:rsidR="002222A1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Lezione frontale e partecipata, lettura di passi scelti</w:t>
            </w:r>
            <w:r w:rsidR="002222A1"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. Alcuni suggerimenti: </w:t>
            </w:r>
          </w:p>
          <w:p w14:paraId="7CFF96C9" w14:textId="2D2881ED" w:rsidR="007B2982" w:rsidRPr="002222A1" w:rsidRDefault="002222A1" w:rsidP="002222A1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1. </w:t>
            </w:r>
            <w:r w:rsidR="007B2982" w:rsidRPr="002222A1"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Canti VI di Inferno e Purgatorio (invettive contro Firenze e Italia)</w:t>
            </w:r>
          </w:p>
          <w:p w14:paraId="63252A7D" w14:textId="78F14BC4" w:rsidR="007B2982" w:rsidRDefault="002222A1" w:rsidP="007B2982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2. </w:t>
            </w:r>
            <w:r w:rsidR="007B2982">
              <w:rPr>
                <w:rFonts w:ascii="Calibri" w:eastAsia="Calibri" w:hAnsi="Calibri" w:cs="Calibri"/>
                <w:i/>
                <w:iCs/>
                <w:color w:val="000099"/>
                <w:sz w:val="22"/>
                <w:szCs w:val="22"/>
              </w:rPr>
              <w:t>Monarchia</w:t>
            </w: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 capitolo finale</w:t>
            </w:r>
          </w:p>
          <w:p w14:paraId="2F0AA6E2" w14:textId="77777777" w:rsidR="002222A1" w:rsidRDefault="002222A1" w:rsidP="007B2982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3. Bartolomeo di </w:t>
            </w:r>
            <w:proofErr w:type="spellStart"/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Iacovo</w:t>
            </w:r>
            <w:proofErr w:type="spellEnd"/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 da Valmontone, “La morte di Cola de Rienzo” </w:t>
            </w:r>
          </w:p>
          <w:p w14:paraId="66B3EC96" w14:textId="77777777" w:rsidR="002222A1" w:rsidRDefault="002222A1" w:rsidP="007B2982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4. Dino Compagni “La morte di Corso Donati”</w:t>
            </w:r>
          </w:p>
          <w:p w14:paraId="4BB00896" w14:textId="77777777" w:rsidR="002222A1" w:rsidRDefault="002222A1" w:rsidP="007B2982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5. Petrarca, </w:t>
            </w:r>
            <w:r>
              <w:rPr>
                <w:rFonts w:ascii="Calibri" w:eastAsia="Calibri" w:hAnsi="Calibri" w:cs="Calibri"/>
                <w:i/>
                <w:iCs/>
                <w:color w:val="000099"/>
                <w:sz w:val="22"/>
                <w:szCs w:val="22"/>
              </w:rPr>
              <w:t>Italia mia benché ‘l parlar sia indarno</w:t>
            </w:r>
          </w:p>
          <w:p w14:paraId="2363A252" w14:textId="77777777" w:rsidR="004C109C" w:rsidRDefault="004C109C" w:rsidP="007B2982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6. Guicciardini, </w:t>
            </w:r>
            <w:r>
              <w:rPr>
                <w:rFonts w:ascii="Calibri" w:eastAsia="Calibri" w:hAnsi="Calibri" w:cs="Calibri"/>
                <w:i/>
                <w:iCs/>
                <w:color w:val="000099"/>
                <w:sz w:val="22"/>
                <w:szCs w:val="22"/>
              </w:rPr>
              <w:t>Storia d’Italia</w:t>
            </w: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, I, 1 (cause della rovina dell’Italia)</w:t>
            </w:r>
          </w:p>
          <w:p w14:paraId="105BCF0B" w14:textId="77777777" w:rsidR="004C109C" w:rsidRDefault="004C109C" w:rsidP="007B2982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7. Machiavelli, </w:t>
            </w:r>
            <w:r w:rsidR="004D4021">
              <w:rPr>
                <w:rFonts w:ascii="Calibri" w:eastAsia="Calibri" w:hAnsi="Calibri" w:cs="Calibri"/>
                <w:i/>
                <w:iCs/>
                <w:color w:val="000099"/>
                <w:sz w:val="22"/>
                <w:szCs w:val="22"/>
              </w:rPr>
              <w:t>Il principe</w:t>
            </w:r>
            <w:r w:rsidR="004D4021"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, </w:t>
            </w:r>
            <w:proofErr w:type="spellStart"/>
            <w:r w:rsidR="004D4021"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capp</w:t>
            </w:r>
            <w:proofErr w:type="spellEnd"/>
            <w:r w:rsidR="004D4021"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. I / VII (Cesare Borgia) / XXIV (cause della crisi dell’Italia) / XXVI (conclusione)</w:t>
            </w:r>
          </w:p>
          <w:p w14:paraId="0BE219EB" w14:textId="6C78F854" w:rsidR="004D4021" w:rsidRPr="004D4021" w:rsidRDefault="004D4021" w:rsidP="007B2982">
            <w:pPr>
              <w:jc w:val="both"/>
              <w:rPr>
                <w:rFonts w:ascii="Calibri" w:eastAsia="Calibri" w:hAnsi="Calibri" w:cs="Calibri"/>
                <w:i/>
                <w:iCs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8. Machiavelli, </w:t>
            </w:r>
            <w:r>
              <w:rPr>
                <w:rFonts w:ascii="Calibri" w:eastAsia="Calibri" w:hAnsi="Calibri" w:cs="Calibri"/>
                <w:i/>
                <w:iCs/>
                <w:color w:val="000099"/>
                <w:sz w:val="22"/>
                <w:szCs w:val="22"/>
              </w:rPr>
              <w:t>Discorsi sopra la prima deca di Tito Livio</w:t>
            </w: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, libro I, proemio</w:t>
            </w:r>
            <w:r>
              <w:rPr>
                <w:rFonts w:ascii="Calibri" w:eastAsia="Calibri" w:hAnsi="Calibri" w:cs="Calibri"/>
                <w:i/>
                <w:iCs/>
                <w:color w:val="000099"/>
                <w:sz w:val="22"/>
                <w:szCs w:val="22"/>
              </w:rPr>
              <w:t xml:space="preserve"> </w:t>
            </w:r>
          </w:p>
        </w:tc>
        <w:tc>
          <w:tcPr>
            <w:tcW w:w="1753" w:type="dxa"/>
            <w:shd w:val="clear" w:color="auto" w:fill="auto"/>
          </w:tcPr>
          <w:p w14:paraId="7C09169F" w14:textId="77777777" w:rsidR="00AD3939" w:rsidRDefault="00AD3939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</w:p>
        </w:tc>
      </w:tr>
      <w:tr w:rsidR="00AD3939" w14:paraId="0F4CA945" w14:textId="77777777">
        <w:tc>
          <w:tcPr>
            <w:tcW w:w="1410" w:type="dxa"/>
            <w:shd w:val="clear" w:color="auto" w:fill="auto"/>
          </w:tcPr>
          <w:p w14:paraId="714D6229" w14:textId="77777777" w:rsidR="00AD3939" w:rsidRDefault="0020024D">
            <w:pP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 xml:space="preserve">L’allegoria </w:t>
            </w: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lastRenderedPageBreak/>
              <w:t>del buon governo - Lorenzetti</w:t>
            </w:r>
          </w:p>
        </w:tc>
        <w:tc>
          <w:tcPr>
            <w:tcW w:w="2085" w:type="dxa"/>
            <w:shd w:val="clear" w:color="auto" w:fill="auto"/>
          </w:tcPr>
          <w:p w14:paraId="40BBC039" w14:textId="77777777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lastRenderedPageBreak/>
              <w:t xml:space="preserve">Riflessione sul </w:t>
            </w: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lastRenderedPageBreak/>
              <w:t>concetto di “buon governo” a partire dall’affresco senese</w:t>
            </w:r>
          </w:p>
        </w:tc>
        <w:tc>
          <w:tcPr>
            <w:tcW w:w="1335" w:type="dxa"/>
            <w:shd w:val="clear" w:color="auto" w:fill="auto"/>
          </w:tcPr>
          <w:p w14:paraId="7DCA11F6" w14:textId="43E75CDE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lastRenderedPageBreak/>
              <w:t xml:space="preserve">Storia </w:t>
            </w: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lastRenderedPageBreak/>
              <w:t>dell’arte</w:t>
            </w:r>
            <w:r w:rsidR="004D4021"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 / Italiano per i corsi che non prevedono l’insegnamento di storia dell’arte</w:t>
            </w:r>
          </w:p>
        </w:tc>
        <w:tc>
          <w:tcPr>
            <w:tcW w:w="1110" w:type="dxa"/>
            <w:shd w:val="clear" w:color="auto" w:fill="auto"/>
          </w:tcPr>
          <w:p w14:paraId="4C20009B" w14:textId="77DBAB0B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lastRenderedPageBreak/>
              <w:t>1 ora</w:t>
            </w:r>
          </w:p>
        </w:tc>
        <w:tc>
          <w:tcPr>
            <w:tcW w:w="2205" w:type="dxa"/>
            <w:shd w:val="clear" w:color="auto" w:fill="auto"/>
          </w:tcPr>
          <w:p w14:paraId="02C40611" w14:textId="77777777" w:rsidR="00AD3939" w:rsidRDefault="00AD3939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</w:p>
        </w:tc>
        <w:tc>
          <w:tcPr>
            <w:tcW w:w="1753" w:type="dxa"/>
            <w:shd w:val="clear" w:color="auto" w:fill="auto"/>
          </w:tcPr>
          <w:p w14:paraId="35295FCA" w14:textId="77777777" w:rsidR="00AD3939" w:rsidRDefault="00AD3939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</w:p>
        </w:tc>
      </w:tr>
      <w:tr w:rsidR="00AD3939" w14:paraId="286D0146" w14:textId="77777777">
        <w:tc>
          <w:tcPr>
            <w:tcW w:w="1410" w:type="dxa"/>
            <w:shd w:val="clear" w:color="auto" w:fill="auto"/>
          </w:tcPr>
          <w:p w14:paraId="0B06813B" w14:textId="77777777" w:rsidR="00AD3939" w:rsidRDefault="0020024D">
            <w:pP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lastRenderedPageBreak/>
              <w:t>L’origine del potere</w:t>
            </w:r>
          </w:p>
        </w:tc>
        <w:tc>
          <w:tcPr>
            <w:tcW w:w="2085" w:type="dxa"/>
            <w:shd w:val="clear" w:color="auto" w:fill="auto"/>
          </w:tcPr>
          <w:p w14:paraId="13985AA6" w14:textId="77777777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conoscere il dibattito sull’origine e la natura del potere</w:t>
            </w:r>
          </w:p>
        </w:tc>
        <w:tc>
          <w:tcPr>
            <w:tcW w:w="1335" w:type="dxa"/>
            <w:shd w:val="clear" w:color="auto" w:fill="auto"/>
          </w:tcPr>
          <w:p w14:paraId="56DA5E35" w14:textId="77777777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Storia </w:t>
            </w:r>
          </w:p>
        </w:tc>
        <w:tc>
          <w:tcPr>
            <w:tcW w:w="1110" w:type="dxa"/>
            <w:shd w:val="clear" w:color="auto" w:fill="auto"/>
          </w:tcPr>
          <w:p w14:paraId="125CF12C" w14:textId="2D2AA3FF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2 ore </w:t>
            </w:r>
          </w:p>
        </w:tc>
        <w:tc>
          <w:tcPr>
            <w:tcW w:w="2205" w:type="dxa"/>
            <w:shd w:val="clear" w:color="auto" w:fill="auto"/>
          </w:tcPr>
          <w:p w14:paraId="129CD744" w14:textId="77777777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Lezione frontale e dibattito in classe</w:t>
            </w:r>
          </w:p>
        </w:tc>
        <w:tc>
          <w:tcPr>
            <w:tcW w:w="1753" w:type="dxa"/>
            <w:shd w:val="clear" w:color="auto" w:fill="auto"/>
          </w:tcPr>
          <w:p w14:paraId="25FAFA9C" w14:textId="77777777" w:rsidR="00AD3939" w:rsidRDefault="00AD3939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</w:p>
        </w:tc>
      </w:tr>
      <w:tr w:rsidR="004D4021" w14:paraId="106D8D48" w14:textId="77777777">
        <w:tc>
          <w:tcPr>
            <w:tcW w:w="1410" w:type="dxa"/>
            <w:shd w:val="clear" w:color="auto" w:fill="auto"/>
          </w:tcPr>
          <w:p w14:paraId="7F6EAAE1" w14:textId="5BDA0C3C" w:rsidR="004D4021" w:rsidRDefault="004D4021">
            <w:pP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>La riflessione filosofica sulla politica</w:t>
            </w:r>
          </w:p>
        </w:tc>
        <w:tc>
          <w:tcPr>
            <w:tcW w:w="2085" w:type="dxa"/>
            <w:shd w:val="clear" w:color="auto" w:fill="auto"/>
          </w:tcPr>
          <w:p w14:paraId="539E7691" w14:textId="77238322" w:rsidR="004D4021" w:rsidRDefault="004D4021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Aristotele</w:t>
            </w:r>
          </w:p>
        </w:tc>
        <w:tc>
          <w:tcPr>
            <w:tcW w:w="1335" w:type="dxa"/>
            <w:shd w:val="clear" w:color="auto" w:fill="auto"/>
          </w:tcPr>
          <w:p w14:paraId="01378A32" w14:textId="1A18360E" w:rsidR="004D4021" w:rsidRDefault="004D4021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Filosofia </w:t>
            </w:r>
          </w:p>
        </w:tc>
        <w:tc>
          <w:tcPr>
            <w:tcW w:w="1110" w:type="dxa"/>
            <w:shd w:val="clear" w:color="auto" w:fill="auto"/>
          </w:tcPr>
          <w:p w14:paraId="4ABD5AC2" w14:textId="226AC51C" w:rsidR="004D4021" w:rsidRDefault="004D4021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2 ore</w:t>
            </w:r>
          </w:p>
        </w:tc>
        <w:tc>
          <w:tcPr>
            <w:tcW w:w="2205" w:type="dxa"/>
            <w:shd w:val="clear" w:color="auto" w:fill="auto"/>
          </w:tcPr>
          <w:p w14:paraId="5D4F9FF7" w14:textId="3D893A29" w:rsidR="004D4021" w:rsidRDefault="004D4021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Lezione frontale e dibattito in classe</w:t>
            </w:r>
          </w:p>
        </w:tc>
        <w:tc>
          <w:tcPr>
            <w:tcW w:w="1753" w:type="dxa"/>
            <w:shd w:val="clear" w:color="auto" w:fill="auto"/>
          </w:tcPr>
          <w:p w14:paraId="52B8A3B7" w14:textId="77777777" w:rsidR="004D4021" w:rsidRDefault="004D4021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</w:p>
        </w:tc>
      </w:tr>
      <w:tr w:rsidR="00AD3939" w14:paraId="7073E7EC" w14:textId="77777777">
        <w:tc>
          <w:tcPr>
            <w:tcW w:w="1410" w:type="dxa"/>
            <w:shd w:val="clear" w:color="auto" w:fill="auto"/>
          </w:tcPr>
          <w:p w14:paraId="78D6A2A8" w14:textId="441BA466" w:rsidR="00AD3939" w:rsidRDefault="0020024D">
            <w:pP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>Attualizzazione del concetto di “buon governo” e realizzazione prodotto finale</w:t>
            </w:r>
          </w:p>
        </w:tc>
        <w:tc>
          <w:tcPr>
            <w:tcW w:w="2085" w:type="dxa"/>
            <w:shd w:val="clear" w:color="auto" w:fill="auto"/>
          </w:tcPr>
          <w:p w14:paraId="5D2B0B21" w14:textId="77777777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Riflessione e </w:t>
            </w:r>
            <w:proofErr w:type="spellStart"/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debate</w:t>
            </w:r>
            <w:proofErr w:type="spellEnd"/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 sul concetto di “buon governo” oggi, a partire da lettura e riflessioni personali</w:t>
            </w:r>
          </w:p>
        </w:tc>
        <w:tc>
          <w:tcPr>
            <w:tcW w:w="1335" w:type="dxa"/>
            <w:shd w:val="clear" w:color="auto" w:fill="auto"/>
          </w:tcPr>
          <w:p w14:paraId="5756D3D1" w14:textId="23891869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Italiano / Storia / Filosofia</w:t>
            </w:r>
            <w:r w:rsidR="004D4021"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 / materie umanistiche</w:t>
            </w:r>
          </w:p>
        </w:tc>
        <w:tc>
          <w:tcPr>
            <w:tcW w:w="1110" w:type="dxa"/>
            <w:shd w:val="clear" w:color="auto" w:fill="auto"/>
          </w:tcPr>
          <w:p w14:paraId="3908E92B" w14:textId="2E59FB18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4 ore</w:t>
            </w:r>
          </w:p>
        </w:tc>
        <w:tc>
          <w:tcPr>
            <w:tcW w:w="2205" w:type="dxa"/>
            <w:shd w:val="clear" w:color="auto" w:fill="auto"/>
          </w:tcPr>
          <w:p w14:paraId="25E5F435" w14:textId="4E44AA7E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Lettura di passi scelti da “Il buon governo – L’età dei doveri” di Sabino </w:t>
            </w:r>
            <w:proofErr w:type="spellStart"/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Cassese</w:t>
            </w:r>
            <w:proofErr w:type="spellEnd"/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 (dispensa che verrà fornita)</w:t>
            </w:r>
          </w:p>
          <w:p w14:paraId="01D66A14" w14:textId="77777777" w:rsidR="00AD3939" w:rsidRDefault="00AD3939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</w:p>
          <w:p w14:paraId="19B0260F" w14:textId="77777777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Lettura della trascrizione di un incontro del 2010 sul tema</w:t>
            </w:r>
          </w:p>
          <w:p w14:paraId="15B0C80C" w14:textId="77777777" w:rsidR="00AD3939" w:rsidRDefault="00D4569C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hyperlink r:id="rId5">
              <w:r w:rsidR="0020024D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https://www.meetingrimini.org/eventi-totale/il-buon-governo-di-ambrogio-lorenzetti-quando-larte-insegna-alla-politica/</w:t>
              </w:r>
            </w:hyperlink>
          </w:p>
          <w:p w14:paraId="39F7407D" w14:textId="77777777" w:rsidR="00AD3939" w:rsidRDefault="00AD3939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</w:p>
        </w:tc>
        <w:tc>
          <w:tcPr>
            <w:tcW w:w="1753" w:type="dxa"/>
            <w:shd w:val="clear" w:color="auto" w:fill="auto"/>
          </w:tcPr>
          <w:p w14:paraId="382EC235" w14:textId="77777777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Produzione di un testo argomentativo personale che contenga le riflessioni sul tema trattato </w:t>
            </w:r>
          </w:p>
          <w:p w14:paraId="5D71C3DD" w14:textId="5F733824" w:rsidR="0020024D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OPPURE di un </w:t>
            </w:r>
            <w:proofErr w:type="spellStart"/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power</w:t>
            </w:r>
            <w:proofErr w:type="spellEnd"/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point</w:t>
            </w:r>
            <w:proofErr w:type="spellEnd"/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 </w:t>
            </w:r>
          </w:p>
        </w:tc>
      </w:tr>
      <w:tr w:rsidR="00AD3939" w14:paraId="444F2D3F" w14:textId="77777777">
        <w:tc>
          <w:tcPr>
            <w:tcW w:w="1410" w:type="dxa"/>
            <w:shd w:val="clear" w:color="auto" w:fill="auto"/>
          </w:tcPr>
          <w:p w14:paraId="052A3383" w14:textId="77777777" w:rsidR="00AD3939" w:rsidRDefault="0020024D">
            <w:pP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>L’allegoria del buon governo oggi</w:t>
            </w:r>
          </w:p>
          <w:p w14:paraId="0809A943" w14:textId="77777777" w:rsidR="0020024D" w:rsidRDefault="0020024D">
            <w:pP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</w:p>
          <w:p w14:paraId="2995457E" w14:textId="7ACD94B7" w:rsidR="0020024D" w:rsidRDefault="0020024D">
            <w:pPr>
              <w:jc w:val="both"/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2"/>
                <w:szCs w:val="22"/>
              </w:rPr>
              <w:t>SOLO PER IL CORSO LAR</w:t>
            </w:r>
          </w:p>
        </w:tc>
        <w:tc>
          <w:tcPr>
            <w:tcW w:w="2085" w:type="dxa"/>
            <w:shd w:val="clear" w:color="auto" w:fill="auto"/>
          </w:tcPr>
          <w:p w14:paraId="5E97B6E2" w14:textId="450BE6A0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 xml:space="preserve">Riflessione su come si potrebbe realizzare al giorno d’oggi il concetto di buon governo in forma grafica o pittorico-scultorea </w:t>
            </w:r>
          </w:p>
        </w:tc>
        <w:tc>
          <w:tcPr>
            <w:tcW w:w="1335" w:type="dxa"/>
            <w:shd w:val="clear" w:color="auto" w:fill="auto"/>
          </w:tcPr>
          <w:p w14:paraId="7D4FDA35" w14:textId="5A44DA07" w:rsidR="00AD3939" w:rsidRDefault="00985C18" w:rsidP="00985C18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Discipline di indirizzo, grafiche o pittoriche</w:t>
            </w:r>
          </w:p>
        </w:tc>
        <w:tc>
          <w:tcPr>
            <w:tcW w:w="1110" w:type="dxa"/>
            <w:shd w:val="clear" w:color="auto" w:fill="auto"/>
          </w:tcPr>
          <w:p w14:paraId="7B7328D9" w14:textId="70B1F2E9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12 ORE</w:t>
            </w:r>
          </w:p>
        </w:tc>
        <w:tc>
          <w:tcPr>
            <w:tcW w:w="2205" w:type="dxa"/>
            <w:shd w:val="clear" w:color="auto" w:fill="auto"/>
          </w:tcPr>
          <w:p w14:paraId="0BF307F1" w14:textId="77777777" w:rsidR="00AD3939" w:rsidRDefault="00AD3939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</w:p>
        </w:tc>
        <w:tc>
          <w:tcPr>
            <w:tcW w:w="1753" w:type="dxa"/>
            <w:shd w:val="clear" w:color="auto" w:fill="auto"/>
          </w:tcPr>
          <w:p w14:paraId="05846CD0" w14:textId="75C0D452" w:rsidR="00AD3939" w:rsidRDefault="0020024D">
            <w:pPr>
              <w:jc w:val="both"/>
              <w:rPr>
                <w:rFonts w:ascii="Calibri" w:eastAsia="Calibri" w:hAnsi="Calibri" w:cs="Calibri"/>
                <w:color w:val="000099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99"/>
                <w:sz w:val="22"/>
                <w:szCs w:val="22"/>
              </w:rPr>
              <w:t>Realizzazione di un progetto personale che esprima il concetto di “buon governo”</w:t>
            </w:r>
          </w:p>
        </w:tc>
      </w:tr>
    </w:tbl>
    <w:p w14:paraId="2C87A0E1" w14:textId="77777777" w:rsidR="00AD3939" w:rsidRDefault="00AD3939">
      <w:pPr>
        <w:jc w:val="both"/>
        <w:rPr>
          <w:rFonts w:ascii="Calibri" w:eastAsia="Calibri" w:hAnsi="Calibri" w:cs="Calibri"/>
          <w:color w:val="000099"/>
        </w:rPr>
      </w:pPr>
    </w:p>
    <w:p w14:paraId="6A33AD27" w14:textId="77777777" w:rsidR="00AD3939" w:rsidRDefault="00AD3939">
      <w:pPr>
        <w:jc w:val="both"/>
        <w:rPr>
          <w:rFonts w:ascii="Calibri" w:eastAsia="Calibri" w:hAnsi="Calibri" w:cs="Calibri"/>
          <w:color w:val="000099"/>
        </w:rPr>
      </w:pPr>
    </w:p>
    <w:p w14:paraId="5B86B411" w14:textId="77777777" w:rsidR="00AD3939" w:rsidRDefault="00AD3939">
      <w:pPr>
        <w:jc w:val="both"/>
        <w:rPr>
          <w:rFonts w:ascii="Calibri" w:eastAsia="Calibri" w:hAnsi="Calibri" w:cs="Calibri"/>
          <w:color w:val="000099"/>
        </w:rPr>
      </w:pPr>
    </w:p>
    <w:sectPr w:rsidR="00AD3939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71861"/>
    <w:multiLevelType w:val="hybridMultilevel"/>
    <w:tmpl w:val="4CAA8330"/>
    <w:lvl w:ilvl="0" w:tplc="6F7A283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39"/>
    <w:rsid w:val="000E47FA"/>
    <w:rsid w:val="00196DE0"/>
    <w:rsid w:val="0020024D"/>
    <w:rsid w:val="002222A1"/>
    <w:rsid w:val="004C109C"/>
    <w:rsid w:val="004D4021"/>
    <w:rsid w:val="007B2982"/>
    <w:rsid w:val="00985C18"/>
    <w:rsid w:val="00AD3939"/>
    <w:rsid w:val="00D30964"/>
    <w:rsid w:val="00D4569C"/>
    <w:rsid w:val="00EA2535"/>
    <w:rsid w:val="00E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F023D"/>
  <w15:docId w15:val="{150407C1-6BA1-4F56-A612-1BB785B43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aragrafoelenco">
    <w:name w:val="List Paragraph"/>
    <w:basedOn w:val="Normale"/>
    <w:uiPriority w:val="34"/>
    <w:qFormat/>
    <w:rsid w:val="000E47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eetingrimini.org/eventi-totale/il-buon-governo-di-ambrogio-lorenzetti-quando-larte-insegna-alla-politic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Loriggiola</dc:creator>
  <cp:lastModifiedBy>Donatella</cp:lastModifiedBy>
  <cp:revision>3</cp:revision>
  <dcterms:created xsi:type="dcterms:W3CDTF">2021-12-12T16:44:00Z</dcterms:created>
  <dcterms:modified xsi:type="dcterms:W3CDTF">2021-12-12T22:02:00Z</dcterms:modified>
</cp:coreProperties>
</file>